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72FA" w14:textId="77777777" w:rsidR="00FD2446" w:rsidRDefault="00FD2446" w:rsidP="00FD2446">
      <w:pPr>
        <w:ind w:left="567" w:right="1224" w:hanging="567"/>
        <w:jc w:val="both"/>
      </w:pPr>
      <w:r>
        <w:t xml:space="preserve">Aristote, </w:t>
      </w:r>
      <w:r w:rsidRPr="00FD2446">
        <w:rPr>
          <w:i/>
        </w:rPr>
        <w:t>Métaphysique</w:t>
      </w:r>
      <w:r>
        <w:t>, Z3 ;</w:t>
      </w:r>
      <w:r w:rsidRPr="00FD2446">
        <w:t xml:space="preserve"> Aubenque, Pierre, « Sur l’ambivalence du concept aristotélicien de substance », dans </w:t>
      </w:r>
      <w:r w:rsidRPr="00FD2446">
        <w:rPr>
          <w:i/>
        </w:rPr>
        <w:t>Problèmes aristotéliciens. Philosophie théorique</w:t>
      </w:r>
      <w:r>
        <w:t xml:space="preserve">, Vrin, 2009 ; </w:t>
      </w:r>
      <w:r w:rsidRPr="00FD2446">
        <w:t xml:space="preserve">Boehm, Rudolf, </w:t>
      </w:r>
      <w:r w:rsidRPr="00FD2446">
        <w:rPr>
          <w:i/>
        </w:rPr>
        <w:t>La Métaphysique d’Aristote. Le fondamental et l’essential</w:t>
      </w:r>
      <w:r w:rsidRPr="00FD2446">
        <w:t xml:space="preserve"> (1965), Gallimard, 1976 ; « Le fondamental est-il l’essentiel ? », </w:t>
      </w:r>
      <w:r w:rsidRPr="00FD2446">
        <w:rPr>
          <w:i/>
        </w:rPr>
        <w:t>Revue philosophique de Louvain</w:t>
      </w:r>
      <w:r w:rsidRPr="00FD2446">
        <w:t>, 1966, p. 373-389.</w:t>
      </w:r>
    </w:p>
    <w:p w14:paraId="4701BAE2" w14:textId="77777777" w:rsidR="0050544D" w:rsidRDefault="0050544D" w:rsidP="00FD2446">
      <w:pPr>
        <w:ind w:left="567" w:right="1224" w:hanging="567"/>
        <w:jc w:val="both"/>
      </w:pPr>
      <w:r>
        <w:t xml:space="preserve">Montaigne, </w:t>
      </w:r>
      <w:r>
        <w:rPr>
          <w:i/>
        </w:rPr>
        <w:t>Essais</w:t>
      </w:r>
      <w:r>
        <w:t>.</w:t>
      </w:r>
    </w:p>
    <w:p w14:paraId="286B56AE" w14:textId="77777777" w:rsidR="00FD2446" w:rsidRDefault="0050544D" w:rsidP="00FD2446">
      <w:pPr>
        <w:ind w:left="567" w:hanging="567"/>
        <w:jc w:val="both"/>
      </w:pPr>
      <w:r>
        <w:t xml:space="preserve">Descartes, </w:t>
      </w:r>
      <w:r>
        <w:rPr>
          <w:i/>
        </w:rPr>
        <w:t>Discours de la méthode</w:t>
      </w:r>
      <w:r w:rsidR="00FD2446">
        <w:t xml:space="preserve"> ; </w:t>
      </w:r>
      <w:r w:rsidR="00FD2446">
        <w:t xml:space="preserve">Guenancia, Pierre, </w:t>
      </w:r>
      <w:r w:rsidR="00FD2446">
        <w:rPr>
          <w:i/>
        </w:rPr>
        <w:t>Descartes selon l’ordre politique</w:t>
      </w:r>
      <w:r w:rsidR="00FD2446">
        <w:t>, PUF, 1983, ch.</w:t>
      </w:r>
      <w:r w:rsidR="00FD2446">
        <w:t xml:space="preserve"> 4 (« L’identité personnelle ») ; </w:t>
      </w:r>
      <w:r w:rsidR="00FD2446">
        <w:t xml:space="preserve">Marion, Jean-Luc, </w:t>
      </w:r>
      <w:r w:rsidR="00FD2446" w:rsidRPr="00043793">
        <w:rPr>
          <w:i/>
        </w:rPr>
        <w:t>Sur le prisme métaphysique de Descartes</w:t>
      </w:r>
      <w:r w:rsidR="00FD2446">
        <w:t xml:space="preserve">, III (« Ego »), PUF, 1986 ; </w:t>
      </w:r>
      <w:r w:rsidR="00FD2446">
        <w:t xml:space="preserve">Marion, Jean-Luc, « Descartes hors sujet », </w:t>
      </w:r>
      <w:r w:rsidR="00FD2446" w:rsidRPr="00DC5E49">
        <w:rPr>
          <w:i/>
        </w:rPr>
        <w:t>Les études philosophiques</w:t>
      </w:r>
      <w:r w:rsidR="00FD2446">
        <w:t>, 2009, p. 51-62.</w:t>
      </w:r>
    </w:p>
    <w:p w14:paraId="38E91E3D" w14:textId="77777777" w:rsidR="0050544D" w:rsidRDefault="0050544D" w:rsidP="00FD2446">
      <w:pPr>
        <w:ind w:left="567" w:hanging="567"/>
        <w:jc w:val="both"/>
      </w:pPr>
      <w:r>
        <w:t xml:space="preserve">Pascal, </w:t>
      </w:r>
      <w:r>
        <w:rPr>
          <w:i/>
        </w:rPr>
        <w:t>Pensées</w:t>
      </w:r>
      <w:r>
        <w:t xml:space="preserve"> (Brunschvicg 100, 123, 323, 455, 457, 468, 471, 477, 479, 485)</w:t>
      </w:r>
    </w:p>
    <w:p w14:paraId="6239D982" w14:textId="77777777" w:rsidR="0050544D" w:rsidRDefault="0050544D" w:rsidP="00FD2446">
      <w:pPr>
        <w:ind w:left="567" w:hanging="567"/>
        <w:jc w:val="both"/>
      </w:pPr>
      <w:r>
        <w:t xml:space="preserve">Locke, </w:t>
      </w:r>
      <w:r>
        <w:rPr>
          <w:i/>
        </w:rPr>
        <w:t>Essai</w:t>
      </w:r>
      <w:r>
        <w:t xml:space="preserve">, </w:t>
      </w:r>
      <w:r w:rsidR="00FD2446">
        <w:t xml:space="preserve">II, 27 </w:t>
      </w:r>
      <w:r>
        <w:t xml:space="preserve">(a fait l’objet d’une édition séparée au Seuil sous le titre : </w:t>
      </w:r>
      <w:r>
        <w:rPr>
          <w:i/>
        </w:rPr>
        <w:t>Identité et différence</w:t>
      </w:r>
      <w:r>
        <w:t>).</w:t>
      </w:r>
    </w:p>
    <w:p w14:paraId="605A37C7" w14:textId="77777777" w:rsidR="00FD2446" w:rsidRDefault="00FD2446" w:rsidP="00FD2446">
      <w:pPr>
        <w:ind w:left="567" w:hanging="567"/>
        <w:jc w:val="both"/>
      </w:pPr>
      <w:r>
        <w:t xml:space="preserve">Leibniz, </w:t>
      </w:r>
      <w:r w:rsidRPr="00FD2446">
        <w:rPr>
          <w:i/>
        </w:rPr>
        <w:t>Nouveaux essais</w:t>
      </w:r>
      <w:r>
        <w:t xml:space="preserve">, II, 27 ; </w:t>
      </w:r>
      <w:r>
        <w:t>Martine</w:t>
      </w:r>
      <w:r>
        <w:t xml:space="preserve"> de Gaudemar</w:t>
      </w:r>
      <w:r>
        <w:t xml:space="preserve">, </w:t>
      </w:r>
      <w:r>
        <w:rPr>
          <w:i/>
        </w:rPr>
        <w:t>Leibniz. De la puissance au sujet</w:t>
      </w:r>
      <w:r>
        <w:t xml:space="preserve">, Vrin, 1994 ; </w:t>
      </w:r>
      <w:r>
        <w:t xml:space="preserve">Fichant, </w:t>
      </w:r>
      <w:r w:rsidRPr="0052218A">
        <w:rPr>
          <w:i/>
        </w:rPr>
        <w:t>Science et métaphysique dans Descartes et Leibniz</w:t>
      </w:r>
      <w:r>
        <w:t xml:space="preserve">, VI, « De l’individuation à l’individualité universelle. », PUF, 1998, </w:t>
      </w:r>
    </w:p>
    <w:p w14:paraId="001AA82F" w14:textId="77777777" w:rsidR="0050544D" w:rsidRDefault="0050544D" w:rsidP="00FD2446">
      <w:pPr>
        <w:ind w:left="567" w:hanging="567"/>
        <w:jc w:val="both"/>
      </w:pPr>
      <w:r>
        <w:t xml:space="preserve">Hume, </w:t>
      </w:r>
      <w:r>
        <w:rPr>
          <w:i/>
        </w:rPr>
        <w:t>Traité de la nature humaine</w:t>
      </w:r>
      <w:r>
        <w:t>, 1.4.6.</w:t>
      </w:r>
    </w:p>
    <w:p w14:paraId="19B2D337" w14:textId="77777777" w:rsidR="0050544D" w:rsidRDefault="0050544D" w:rsidP="00FD2446">
      <w:pPr>
        <w:ind w:left="567" w:hanging="567"/>
        <w:jc w:val="both"/>
      </w:pPr>
      <w:r>
        <w:t xml:space="preserve">Kant, </w:t>
      </w:r>
      <w:r>
        <w:rPr>
          <w:i/>
        </w:rPr>
        <w:t>Critique de la faculté de juger</w:t>
      </w:r>
      <w:r>
        <w:t>.</w:t>
      </w:r>
    </w:p>
    <w:p w14:paraId="7C5DAB09" w14:textId="77777777" w:rsidR="0050544D" w:rsidRDefault="0050544D" w:rsidP="00FD2446">
      <w:pPr>
        <w:ind w:left="567" w:hanging="567"/>
        <w:jc w:val="both"/>
      </w:pPr>
      <w:r>
        <w:t xml:space="preserve">Hegel, </w:t>
      </w:r>
      <w:r>
        <w:rPr>
          <w:i/>
        </w:rPr>
        <w:t>Phénoménologie de l’esprit.</w:t>
      </w:r>
    </w:p>
    <w:p w14:paraId="30778079" w14:textId="77777777" w:rsidR="0050544D" w:rsidRDefault="0050544D" w:rsidP="00FD2446">
      <w:pPr>
        <w:ind w:left="567" w:hanging="567"/>
        <w:jc w:val="both"/>
      </w:pPr>
      <w:r>
        <w:t xml:space="preserve">Bachelard, « Idéalisme discursif », dans </w:t>
      </w:r>
      <w:r>
        <w:rPr>
          <w:i/>
        </w:rPr>
        <w:t>Etudes</w:t>
      </w:r>
      <w:r>
        <w:t>, Vrin, 1970.</w:t>
      </w:r>
    </w:p>
    <w:p w14:paraId="738865EA" w14:textId="77777777" w:rsidR="0050544D" w:rsidRDefault="0050544D" w:rsidP="00FD2446">
      <w:pPr>
        <w:ind w:left="567" w:hanging="567"/>
        <w:jc w:val="both"/>
      </w:pPr>
      <w:r>
        <w:t xml:space="preserve">Sartre, </w:t>
      </w:r>
      <w:r>
        <w:rPr>
          <w:i/>
        </w:rPr>
        <w:t>La transcendance de l’ego</w:t>
      </w:r>
      <w:r>
        <w:t>.</w:t>
      </w:r>
    </w:p>
    <w:p w14:paraId="52BAB88B" w14:textId="77777777" w:rsidR="0050544D" w:rsidRDefault="0050544D" w:rsidP="00FD2446">
      <w:pPr>
        <w:ind w:left="567" w:hanging="567"/>
        <w:jc w:val="both"/>
      </w:pPr>
      <w:r>
        <w:t xml:space="preserve">Merleau-Ponty, </w:t>
      </w:r>
      <w:r>
        <w:rPr>
          <w:i/>
        </w:rPr>
        <w:t>Phénoménologie de la perception</w:t>
      </w:r>
      <w:r>
        <w:t>.</w:t>
      </w:r>
    </w:p>
    <w:p w14:paraId="6046941F" w14:textId="77777777" w:rsidR="0050544D" w:rsidRDefault="0050544D" w:rsidP="00FD2446">
      <w:pPr>
        <w:ind w:left="567" w:hanging="567"/>
        <w:jc w:val="both"/>
      </w:pPr>
    </w:p>
    <w:p w14:paraId="0EAD4B1F" w14:textId="77777777" w:rsidR="0050544D" w:rsidRDefault="0050544D" w:rsidP="00FD2446">
      <w:pPr>
        <w:ind w:left="567" w:hanging="567"/>
        <w:jc w:val="both"/>
      </w:pPr>
      <w:r>
        <w:rPr>
          <w:i/>
        </w:rPr>
        <w:t>Penser le sujet aujourd’hui</w:t>
      </w:r>
      <w:r>
        <w:t>, Colloque de Cerisy, éd. Klincksieck, 1988.</w:t>
      </w:r>
    </w:p>
    <w:p w14:paraId="2927A048" w14:textId="77777777" w:rsidR="0050544D" w:rsidRDefault="0050544D" w:rsidP="00FD2446">
      <w:pPr>
        <w:ind w:left="567" w:hanging="567"/>
        <w:jc w:val="both"/>
      </w:pPr>
      <w:r>
        <w:rPr>
          <w:i/>
        </w:rPr>
        <w:t>Homme et sujet.</w:t>
      </w:r>
      <w:r>
        <w:t xml:space="preserve"> </w:t>
      </w:r>
      <w:r>
        <w:rPr>
          <w:i/>
        </w:rPr>
        <w:t>La subjectivité en question dans les sciences humaines</w:t>
      </w:r>
      <w:r>
        <w:t>, L’Harmattan, 1992.</w:t>
      </w:r>
    </w:p>
    <w:p w14:paraId="703CB096" w14:textId="77777777" w:rsidR="0050544D" w:rsidRDefault="0050544D" w:rsidP="00FD2446">
      <w:pPr>
        <w:ind w:left="567" w:hanging="567"/>
        <w:jc w:val="both"/>
      </w:pPr>
      <w:r>
        <w:t xml:space="preserve">Benoist, </w:t>
      </w:r>
      <w:r w:rsidR="00FD2446">
        <w:t xml:space="preserve">J., </w:t>
      </w:r>
      <w:r>
        <w:t xml:space="preserve">« La subjectivité », dans Kambouchner (éd.), </w:t>
      </w:r>
      <w:r>
        <w:rPr>
          <w:i/>
        </w:rPr>
        <w:t>Notions de philosophie</w:t>
      </w:r>
      <w:r>
        <w:t xml:space="preserve">, Gallimard, « folio », t. II : signale, dans sa bibliographie, que le meilleur livre sur le sujet reste la </w:t>
      </w:r>
      <w:r>
        <w:rPr>
          <w:i/>
        </w:rPr>
        <w:t>Critique de la faculté de juger</w:t>
      </w:r>
      <w:r>
        <w:t>.</w:t>
      </w:r>
    </w:p>
    <w:p w14:paraId="634F60CD" w14:textId="77777777" w:rsidR="00FD2446" w:rsidRDefault="00FD2446" w:rsidP="00FD2446">
      <w:pPr>
        <w:ind w:left="567" w:hanging="567"/>
        <w:jc w:val="both"/>
      </w:pPr>
      <w:r>
        <w:t xml:space="preserve">Carraud, Vincent, </w:t>
      </w:r>
      <w:r w:rsidRPr="00043793">
        <w:rPr>
          <w:i/>
        </w:rPr>
        <w:t>L’invention du moi</w:t>
      </w:r>
      <w:r>
        <w:t>, PUF, 2010.</w:t>
      </w:r>
    </w:p>
    <w:p w14:paraId="7741917B" w14:textId="77777777" w:rsidR="0050544D" w:rsidRDefault="0050544D" w:rsidP="00FD2446">
      <w:pPr>
        <w:ind w:left="567" w:hanging="567"/>
        <w:jc w:val="both"/>
      </w:pPr>
      <w:r>
        <w:t xml:space="preserve">Chédin, </w:t>
      </w:r>
      <w:r w:rsidR="00FD2446">
        <w:t>J.-L.</w:t>
      </w:r>
      <w:r w:rsidR="00FD2446">
        <w:t>,</w:t>
      </w:r>
      <w:r w:rsidR="00FD2446">
        <w:t xml:space="preserve"> </w:t>
      </w:r>
      <w:r>
        <w:rPr>
          <w:i/>
        </w:rPr>
        <w:t>La condition subjective. Le sujet entre crise et renouveau</w:t>
      </w:r>
      <w:r>
        <w:t>, Vrin, 1997.</w:t>
      </w:r>
    </w:p>
    <w:p w14:paraId="297702F0" w14:textId="77777777" w:rsidR="0050544D" w:rsidRDefault="0050544D" w:rsidP="00FD2446">
      <w:pPr>
        <w:ind w:left="567" w:hanging="567"/>
        <w:jc w:val="both"/>
      </w:pPr>
      <w:r>
        <w:t xml:space="preserve">Edelman, </w:t>
      </w:r>
      <w:r w:rsidR="00FD2446">
        <w:t>Bernard</w:t>
      </w:r>
      <w:r w:rsidR="00FD2446">
        <w:t>,</w:t>
      </w:r>
      <w:r w:rsidR="00FD2446">
        <w:t xml:space="preserve"> </w:t>
      </w:r>
      <w:r>
        <w:rPr>
          <w:i/>
        </w:rPr>
        <w:t>La personne en danger</w:t>
      </w:r>
      <w:r>
        <w:t>, PUF, 1999.</w:t>
      </w:r>
    </w:p>
    <w:p w14:paraId="55B8705A" w14:textId="77777777" w:rsidR="00FD2446" w:rsidRDefault="0050544D" w:rsidP="00FD2446">
      <w:pPr>
        <w:ind w:left="567" w:hanging="567"/>
        <w:jc w:val="both"/>
      </w:pPr>
      <w:r>
        <w:t xml:space="preserve">Engel, </w:t>
      </w:r>
      <w:r w:rsidR="00FD2446">
        <w:t>Pascal</w:t>
      </w:r>
      <w:r w:rsidR="00FD2446">
        <w:t>,</w:t>
      </w:r>
      <w:r w:rsidR="00FD2446">
        <w:t xml:space="preserve"> </w:t>
      </w:r>
      <w:r>
        <w:rPr>
          <w:i/>
        </w:rPr>
        <w:t>Introduction à la philosophie de l’esprit</w:t>
      </w:r>
      <w:r>
        <w:t>, Editions La Découverte, 1994, ch. 7 (« Paradoxes de l’identité personnelle »)</w:t>
      </w:r>
    </w:p>
    <w:p w14:paraId="1FBB0B42" w14:textId="77777777" w:rsidR="00FD2446" w:rsidRDefault="00FD2446" w:rsidP="00FD2446">
      <w:pPr>
        <w:ind w:left="567" w:hanging="567"/>
        <w:jc w:val="both"/>
      </w:pPr>
      <w:r w:rsidRPr="00FD2446">
        <w:t>Foucault,</w:t>
      </w:r>
      <w:r>
        <w:t xml:space="preserve"> M.,</w:t>
      </w:r>
      <w:bookmarkStart w:id="0" w:name="_GoBack"/>
      <w:bookmarkEnd w:id="0"/>
      <w:r w:rsidRPr="00FD2446">
        <w:t xml:space="preserve"> </w:t>
      </w:r>
      <w:r w:rsidRPr="00FD2446">
        <w:rPr>
          <w:i/>
          <w:iCs/>
        </w:rPr>
        <w:t>L'herméneutique du sujet. Cours au collège de France</w:t>
      </w:r>
      <w:r w:rsidRPr="00FD2446">
        <w:t>, 1981-1982, Paris,  Gallimard- Le Seuil, 2001.  </w:t>
      </w:r>
    </w:p>
    <w:p w14:paraId="65AB9F4B" w14:textId="77777777" w:rsidR="00FD2446" w:rsidRDefault="00FD2446" w:rsidP="00FD2446">
      <w:pPr>
        <w:ind w:left="567" w:hanging="567"/>
        <w:jc w:val="both"/>
      </w:pPr>
      <w:r>
        <w:t xml:space="preserve">de Libera, Alain, </w:t>
      </w:r>
      <w:r w:rsidRPr="00043793">
        <w:rPr>
          <w:i/>
        </w:rPr>
        <w:t>Archéologie du sujet, I. Naissance du sujet</w:t>
      </w:r>
      <w:r>
        <w:t>, Vrin, 2010.</w:t>
      </w:r>
    </w:p>
    <w:p w14:paraId="040AE28E" w14:textId="77777777" w:rsidR="0050544D" w:rsidRDefault="0050544D" w:rsidP="00FD2446">
      <w:pPr>
        <w:ind w:left="567" w:hanging="567"/>
        <w:jc w:val="both"/>
      </w:pPr>
      <w:r>
        <w:t xml:space="preserve">Misrahi, </w:t>
      </w:r>
      <w:r w:rsidR="00FD2446">
        <w:t>R.</w:t>
      </w:r>
      <w:r w:rsidR="00FD2446">
        <w:t>,</w:t>
      </w:r>
      <w:r w:rsidR="00FD2446">
        <w:t xml:space="preserve"> </w:t>
      </w:r>
      <w:r>
        <w:rPr>
          <w:i/>
        </w:rPr>
        <w:t>La problématique du sujet aujourd’hui</w:t>
      </w:r>
      <w:r>
        <w:t>, Encre marine, 1994.</w:t>
      </w:r>
    </w:p>
    <w:p w14:paraId="30A2210D" w14:textId="77777777" w:rsidR="0050544D" w:rsidRDefault="0050544D" w:rsidP="00FD2446">
      <w:pPr>
        <w:ind w:left="567" w:hanging="567"/>
        <w:jc w:val="both"/>
      </w:pPr>
      <w:r>
        <w:t xml:space="preserve">Renaut, </w:t>
      </w:r>
      <w:r>
        <w:rPr>
          <w:i/>
        </w:rPr>
        <w:t>L’ère de l’individu</w:t>
      </w:r>
      <w:r>
        <w:t>, Gallimard, 1989.</w:t>
      </w:r>
    </w:p>
    <w:p w14:paraId="56DAC3CB" w14:textId="77777777" w:rsidR="0050544D" w:rsidRDefault="0050544D" w:rsidP="00FD2446">
      <w:pPr>
        <w:ind w:left="567" w:hanging="567"/>
        <w:jc w:val="both"/>
      </w:pPr>
      <w:r>
        <w:t xml:space="preserve">Ricoeur, </w:t>
      </w:r>
      <w:r w:rsidR="00FD2446">
        <w:t>P.</w:t>
      </w:r>
      <w:r w:rsidR="00FD2446">
        <w:t>,</w:t>
      </w:r>
      <w:r w:rsidR="00FD2446">
        <w:t xml:space="preserve"> </w:t>
      </w:r>
      <w:r>
        <w:rPr>
          <w:i/>
        </w:rPr>
        <w:t>Soi-même comme un autre</w:t>
      </w:r>
      <w:r>
        <w:t>, Seuil, 1990.</w:t>
      </w:r>
    </w:p>
    <w:p w14:paraId="219614F2" w14:textId="77777777" w:rsidR="0050544D" w:rsidRDefault="0050544D" w:rsidP="00FD2446">
      <w:pPr>
        <w:ind w:left="567" w:hanging="567"/>
        <w:jc w:val="both"/>
      </w:pPr>
      <w:r>
        <w:t xml:space="preserve">Taylor, </w:t>
      </w:r>
      <w:r w:rsidR="00FD2446">
        <w:t>Ch.</w:t>
      </w:r>
      <w:r w:rsidR="00FD2446">
        <w:t>,</w:t>
      </w:r>
      <w:r w:rsidR="00FD2446">
        <w:t xml:space="preserve"> </w:t>
      </w:r>
      <w:r>
        <w:rPr>
          <w:i/>
        </w:rPr>
        <w:t>Les sources du moi</w:t>
      </w:r>
      <w:r>
        <w:t>, Seuil, 1998.</w:t>
      </w:r>
    </w:p>
    <w:p w14:paraId="15AE455C" w14:textId="77777777" w:rsidR="0050544D" w:rsidRDefault="0050544D" w:rsidP="00FD2446">
      <w:pPr>
        <w:ind w:left="567" w:hanging="567"/>
        <w:jc w:val="both"/>
      </w:pPr>
      <w:r>
        <w:t xml:space="preserve">Wolff, </w:t>
      </w:r>
      <w:r w:rsidR="00FD2446">
        <w:t>Francis</w:t>
      </w:r>
      <w:r w:rsidR="00FD2446">
        <w:t>,</w:t>
      </w:r>
      <w:r w:rsidR="00FD2446">
        <w:t xml:space="preserve"> </w:t>
      </w:r>
      <w:r>
        <w:rPr>
          <w:i/>
        </w:rPr>
        <w:t>Dire le monde</w:t>
      </w:r>
      <w:r>
        <w:t>, PUF, 1997, chapitres 3 (« De l’imputation ») et 4 (« qui agit ? »).</w:t>
      </w:r>
    </w:p>
    <w:p w14:paraId="59A78BCC" w14:textId="77777777" w:rsidR="0050544D" w:rsidRDefault="0050544D" w:rsidP="00FD2446">
      <w:pPr>
        <w:ind w:left="567" w:hanging="567"/>
        <w:jc w:val="both"/>
      </w:pPr>
      <w:r>
        <w:t xml:space="preserve">Zarca, J.-Yves, </w:t>
      </w:r>
      <w:r>
        <w:rPr>
          <w:i/>
        </w:rPr>
        <w:t>L’autre voie de la subjectivité. Six études sur le sujet et le droit naturel au XVIIe siècle</w:t>
      </w:r>
      <w:r>
        <w:t>, Beauchesne, 2000.</w:t>
      </w:r>
    </w:p>
    <w:p w14:paraId="0BAB05DA" w14:textId="77777777" w:rsidR="00025DF9" w:rsidRDefault="00025DF9"/>
    <w:sectPr w:rsidR="00025DF9" w:rsidSect="00025D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D"/>
    <w:rsid w:val="00025DF9"/>
    <w:rsid w:val="00055285"/>
    <w:rsid w:val="00273937"/>
    <w:rsid w:val="0050544D"/>
    <w:rsid w:val="009503CE"/>
    <w:rsid w:val="009F2768"/>
    <w:rsid w:val="00CF069D"/>
    <w:rsid w:val="00F43612"/>
    <w:rsid w:val="00FD2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87E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D"/>
    <w:pPr>
      <w:spacing w:after="0"/>
    </w:pPr>
    <w:rPr>
      <w:rFonts w:ascii="Times New Roman" w:eastAsia="Times New Roman" w:hAnsi="Times New Roman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D"/>
    <w:pPr>
      <w:spacing w:after="0"/>
    </w:pPr>
    <w:rPr>
      <w:rFonts w:ascii="Times New Roman" w:eastAsia="Times New Roman" w:hAnsi="Times New Roman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2305</Characters>
  <Application>Microsoft Macintosh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Leandri</dc:creator>
  <cp:keywords/>
  <dc:description/>
  <cp:lastModifiedBy>Antoine Leandri</cp:lastModifiedBy>
  <cp:revision>2</cp:revision>
  <dcterms:created xsi:type="dcterms:W3CDTF">2015-07-18T03:39:00Z</dcterms:created>
  <dcterms:modified xsi:type="dcterms:W3CDTF">2015-11-22T17:00:00Z</dcterms:modified>
</cp:coreProperties>
</file>